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3541" w14:textId="77777777" w:rsidR="00037FFA" w:rsidRDefault="00411D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EK-13</w:t>
      </w:r>
    </w:p>
    <w:p w14:paraId="13280291" w14:textId="77777777" w:rsidR="00037FFA" w:rsidRDefault="00037FFA">
      <w:pPr>
        <w:pStyle w:val="NormalWeb"/>
        <w:spacing w:before="0" w:after="0"/>
        <w:jc w:val="center"/>
        <w:rPr>
          <w:rFonts w:ascii="Times New Roman" w:hAnsi="Times New Roman"/>
          <w:b/>
          <w:bCs/>
        </w:rPr>
      </w:pPr>
    </w:p>
    <w:p w14:paraId="00F72336" w14:textId="77777777" w:rsidR="00037FFA" w:rsidRDefault="00411D7D">
      <w:pPr>
        <w:pStyle w:val="NormalWeb"/>
        <w:spacing w:before="0" w:after="0"/>
        <w:jc w:val="center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bCs/>
        </w:rPr>
        <w:t xml:space="preserve">SEKTÖREL ALIM VE TİCARET HEYETİ PROGRAMLARI DESTEĞİ </w:t>
      </w:r>
      <w:r>
        <w:rPr>
          <w:rFonts w:ascii="Times New Roman" w:hAnsi="Times New Roman"/>
          <w:b/>
          <w:lang w:val="tr-TR"/>
        </w:rPr>
        <w:t xml:space="preserve">BAŞVURU BELGELERİ </w:t>
      </w:r>
    </w:p>
    <w:p w14:paraId="240E7A61" w14:textId="77777777" w:rsidR="00037FFA" w:rsidRDefault="00037FFA">
      <w:pPr>
        <w:pStyle w:val="NormalWeb"/>
        <w:spacing w:before="0" w:after="0"/>
        <w:jc w:val="center"/>
        <w:rPr>
          <w:rFonts w:ascii="Times New Roman" w:hAnsi="Times New Roman"/>
          <w:b/>
          <w:lang w:val="tr-TR"/>
        </w:rPr>
      </w:pPr>
    </w:p>
    <w:p w14:paraId="5A7991B6" w14:textId="77777777" w:rsidR="00037FFA" w:rsidRDefault="00411D7D">
      <w:pPr>
        <w:spacing w:after="0"/>
        <w:ind w:left="425"/>
        <w:jc w:val="center"/>
        <w:rPr>
          <w:rFonts w:ascii="Times New Roman" w:hAnsi="Times New Roman"/>
          <w:b/>
          <w:i/>
          <w:iCs/>
          <w:kern w:val="36"/>
          <w:sz w:val="24"/>
          <w:szCs w:val="24"/>
          <w:lang w:eastAsia="tr-TR"/>
        </w:rPr>
      </w:pPr>
      <w:bookmarkStart w:id="0" w:name="_Hlk97218855"/>
      <w:r>
        <w:rPr>
          <w:rFonts w:ascii="Times New Roman" w:hAnsi="Times New Roman"/>
          <w:b/>
          <w:i/>
          <w:sz w:val="24"/>
          <w:szCs w:val="24"/>
        </w:rPr>
        <w:t>Başvuru dosyasının aşağıdaki sıralamaya uygun şekilde hazırlanması gerekir.</w:t>
      </w:r>
      <w:bookmarkEnd w:id="0"/>
    </w:p>
    <w:p w14:paraId="04D7DA7C" w14:textId="77777777" w:rsidR="00037FFA" w:rsidRDefault="00037FFA">
      <w:pPr>
        <w:spacing w:after="0"/>
        <w:ind w:left="425"/>
        <w:jc w:val="both"/>
        <w:rPr>
          <w:rFonts w:ascii="Times New Roman" w:hAnsi="Times New Roman"/>
          <w:b/>
          <w:i/>
          <w:iCs/>
          <w:kern w:val="36"/>
          <w:sz w:val="24"/>
          <w:szCs w:val="24"/>
          <w:lang w:eastAsia="tr-TR"/>
        </w:rPr>
      </w:pPr>
    </w:p>
    <w:p w14:paraId="67E57D4B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Başvuru dilekçesi</w:t>
      </w:r>
    </w:p>
    <w:p w14:paraId="6A049390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Sektörel Alım veya Ticaret Heyeti Programları Desteği Başvuru Formu </w:t>
      </w:r>
      <w:r>
        <w:rPr>
          <w:rFonts w:ascii="Times New Roman" w:hAnsi="Times New Roman"/>
          <w:b/>
          <w:bCs/>
          <w:sz w:val="24"/>
          <w:szCs w:val="24"/>
        </w:rPr>
        <w:t>(EK-13A)</w:t>
      </w:r>
    </w:p>
    <w:p w14:paraId="4C9DFC0A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Sektörel Alım veya Ticaret Heyeti Programları Yararlanıcı Bilgi Formu </w:t>
      </w:r>
      <w:r>
        <w:rPr>
          <w:rFonts w:ascii="Times New Roman" w:hAnsi="Times New Roman"/>
          <w:b/>
          <w:bCs/>
          <w:sz w:val="24"/>
          <w:szCs w:val="24"/>
        </w:rPr>
        <w:t>(EK-13Ç)</w:t>
      </w:r>
    </w:p>
    <w:p w14:paraId="63DAE7B8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Sektörel Alım veya Ticaret Heyeti Programları Yabancı Katılımcı Bilgi Formu </w:t>
      </w:r>
      <w:r>
        <w:rPr>
          <w:rFonts w:ascii="Times New Roman" w:hAnsi="Times New Roman"/>
          <w:b/>
          <w:bCs/>
          <w:sz w:val="24"/>
          <w:szCs w:val="24"/>
        </w:rPr>
        <w:t>(EK-13D)</w:t>
      </w:r>
    </w:p>
    <w:p w14:paraId="5FF860BF" w14:textId="77777777" w:rsidR="00037FFA" w:rsidRDefault="00411D7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Sektörel ticaret heyeti programına ilişkin ek olarak:</w:t>
      </w:r>
    </w:p>
    <w:p w14:paraId="56A47699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Sektörel Ticaret Heyeti Programı Sonuç Raporu </w:t>
      </w:r>
      <w:r>
        <w:rPr>
          <w:rFonts w:ascii="Times New Roman" w:hAnsi="Times New Roman"/>
          <w:b/>
          <w:bCs/>
          <w:sz w:val="24"/>
          <w:szCs w:val="24"/>
        </w:rPr>
        <w:t>(EK-13E)</w:t>
      </w:r>
    </w:p>
    <w:p w14:paraId="7E66A50B" w14:textId="77777777" w:rsidR="00037FFA" w:rsidRDefault="00411D7D">
      <w:pPr>
        <w:pStyle w:val="ListeParagraf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bir katılımcı için hazırlanmış Temel Bilgi ve Belgeler </w:t>
      </w:r>
      <w:r>
        <w:rPr>
          <w:rFonts w:ascii="Times New Roman" w:hAnsi="Times New Roman"/>
          <w:b/>
          <w:bCs/>
          <w:sz w:val="24"/>
          <w:szCs w:val="24"/>
        </w:rPr>
        <w:t>(EK-1)</w:t>
      </w:r>
      <w:r>
        <w:rPr>
          <w:rFonts w:ascii="Times New Roman" w:hAnsi="Times New Roman"/>
          <w:sz w:val="24"/>
          <w:szCs w:val="24"/>
        </w:rPr>
        <w:t xml:space="preserve"> listesinde yer alan bilgi ve belgeler </w:t>
      </w:r>
    </w:p>
    <w:p w14:paraId="42D6928E" w14:textId="3848EF58" w:rsidR="00037FFA" w:rsidRDefault="00411D7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Sektörel</w:t>
      </w:r>
      <w:proofErr w:type="spellEnd"/>
      <w:r>
        <w:rPr>
          <w:rFonts w:ascii="Times New Roman" w:hAnsi="Times New Roman"/>
          <w:sz w:val="24"/>
          <w:szCs w:val="24"/>
        </w:rPr>
        <w:t xml:space="preserve"> alım heye</w:t>
      </w:r>
      <w:r w:rsidR="009D3C49">
        <w:rPr>
          <w:rFonts w:ascii="Times New Roman" w:hAnsi="Times New Roman"/>
          <w:sz w:val="24"/>
          <w:szCs w:val="24"/>
        </w:rPr>
        <w:t>ti programına ilişkin ek olarak</w:t>
      </w:r>
    </w:p>
    <w:p w14:paraId="3CC1194B" w14:textId="77777777" w:rsidR="00037FFA" w:rsidRDefault="00411D7D" w:rsidP="009D3C49">
      <w:pPr>
        <w:numPr>
          <w:ilvl w:val="1"/>
          <w:numId w:val="2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Sektörel</w:t>
      </w:r>
      <w:proofErr w:type="spellEnd"/>
      <w:r>
        <w:rPr>
          <w:rFonts w:ascii="Times New Roman" w:hAnsi="Times New Roman"/>
          <w:sz w:val="24"/>
          <w:szCs w:val="24"/>
        </w:rPr>
        <w:t xml:space="preserve"> Alım Heyeti Programı Sonuç Raporu </w:t>
      </w:r>
      <w:r>
        <w:rPr>
          <w:rFonts w:ascii="Times New Roman" w:hAnsi="Times New Roman"/>
          <w:b/>
          <w:bCs/>
          <w:sz w:val="24"/>
          <w:szCs w:val="24"/>
        </w:rPr>
        <w:t>(EK-13F)</w:t>
      </w:r>
      <w:bookmarkStart w:id="1" w:name="_GoBack"/>
      <w:bookmarkEnd w:id="1"/>
    </w:p>
    <w:p w14:paraId="1E70F0F7" w14:textId="580B755F" w:rsidR="009D3C49" w:rsidRPr="009D3C49" w:rsidRDefault="00411D7D" w:rsidP="009D3C4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Fatura</w:t>
      </w:r>
    </w:p>
    <w:p w14:paraId="6F5204EA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Sözleşme</w:t>
      </w:r>
    </w:p>
    <w:p w14:paraId="38936BA9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onaylı ödeme belgesi</w:t>
      </w:r>
    </w:p>
    <w:p w14:paraId="0A96068B" w14:textId="77777777" w:rsidR="00037FFA" w:rsidRDefault="00411D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Sektörel ticaret heyeti programına katılan yararlanıcı/işbirliği kuruluşu temsilcisinin:</w:t>
      </w:r>
    </w:p>
    <w:p w14:paraId="3885B54C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Şirket ortağı, sahibi, yöneticisi veya üyesi olması halinde şirketin güncel sermaye paylaşımını gösteren Türkiye Ticaret Sicili Gazetesi (Güncel sermaye paylaşımını </w:t>
      </w:r>
      <w:proofErr w:type="gramStart"/>
      <w:r>
        <w:rPr>
          <w:rFonts w:ascii="Times New Roman" w:hAnsi="Times New Roman"/>
          <w:sz w:val="24"/>
          <w:szCs w:val="24"/>
        </w:rPr>
        <w:t>gösteren</w:t>
      </w:r>
      <w:proofErr w:type="gramEnd"/>
      <w:r>
        <w:rPr>
          <w:rFonts w:ascii="Times New Roman" w:hAnsi="Times New Roman"/>
          <w:sz w:val="24"/>
          <w:szCs w:val="24"/>
        </w:rPr>
        <w:t xml:space="preserve"> Türkiye Ticaret Sicili Gazetesinin ibraz edilememesi halinde Ticaret Sicil Memurluğundan alınan yazı veya pay cetveli) veya sahiplik, yönetim veya üyelik ilişkisini kanıtlayan belge</w:t>
      </w:r>
    </w:p>
    <w:p w14:paraId="7C89044A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Çalışan olması halinde faaliyetin yapıldığı aya/aylara ait SGK bildirgeleri</w:t>
      </w:r>
    </w:p>
    <w:p w14:paraId="2F76895D" w14:textId="77777777" w:rsidR="00037FFA" w:rsidRDefault="00411D7D">
      <w:pPr>
        <w:pStyle w:val="ListeParagraf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Sektörel alım heyeti programı kapsamında ülkemize getirilmiş olan şirket ya da kurumlara ilişkin: </w:t>
      </w:r>
    </w:p>
    <w:p w14:paraId="71807FA3" w14:textId="1956F96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katılan yabancı şirketin/kuruluşun varlığına ve hangi sektörde faaliyet gösterdiğine ilişkin yerel resmi makamlardan veya yerel resmi makamlara ait internet sitelerinden ya da diğer kurumsal mecralardan alınan kanıtlayıcı bilgi ve belgeler</w:t>
      </w:r>
    </w:p>
    <w:p w14:paraId="69AD7BA9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51478484"/>
      <w:r>
        <w:rPr>
          <w:rFonts w:ascii="Times New Roman" w:hAnsi="Times New Roman"/>
          <w:sz w:val="24"/>
          <w:szCs w:val="24"/>
        </w:rPr>
        <w:t xml:space="preserve">Programa yabancı şirket/kuruluş adına katılım sağlayan kişinin/kişilerin şirket/kuruluş çalışanı ya da ortağı olduğuna </w:t>
      </w:r>
      <w:bookmarkEnd w:id="2"/>
      <w:r>
        <w:rPr>
          <w:rFonts w:ascii="Times New Roman" w:hAnsi="Times New Roman"/>
          <w:sz w:val="24"/>
          <w:szCs w:val="24"/>
        </w:rPr>
        <w:t>ilişkin yerel resmi makamlardan veya yerel resmi makamlara ait internet sitelerinden ya da diğer kurumsal mecralardan alınan kanıtlayıcı bilgi ve belgeler</w:t>
      </w:r>
    </w:p>
    <w:p w14:paraId="3F6DEE84" w14:textId="77777777" w:rsidR="00037FFA" w:rsidRDefault="00411D7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Ulaşım harcamalarına ilişkin ek olarak:</w:t>
      </w:r>
    </w:p>
    <w:p w14:paraId="77641BE9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Bilet</w:t>
      </w:r>
    </w:p>
    <w:p w14:paraId="568FB14E" w14:textId="77777777" w:rsidR="00037FFA" w:rsidRDefault="00411D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Bakanlık tarafından görevlendirilmiş temsilcinin olmaması halinde onaylanan ülke/ülkelere gidişe ve onaylanan ülke/ülkelerden dönüşe ilişkin aşağıdaki belgelerden herhangi biri:</w:t>
      </w:r>
    </w:p>
    <w:p w14:paraId="6191DA52" w14:textId="77777777" w:rsidR="00037FFA" w:rsidRDefault="00411D7D">
      <w:pPr>
        <w:pStyle w:val="ListeParagraf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Uçuşlara ait biniş kartları</w:t>
      </w:r>
    </w:p>
    <w:p w14:paraId="33716597" w14:textId="77777777" w:rsidR="00037FFA" w:rsidRDefault="00411D7D">
      <w:pPr>
        <w:pStyle w:val="ListeParagraf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Temsilcinin ilgili ülkeye giriş yaptığını ve ilgili ülkeden çıkış yaptığını gösterir pasaportun ana sayfası ve ilgili sayfalarının fotokopileri veya resmi makamlardan alınacak yazı </w:t>
      </w:r>
    </w:p>
    <w:p w14:paraId="2053179E" w14:textId="77777777" w:rsidR="00037FFA" w:rsidRDefault="00411D7D">
      <w:pPr>
        <w:pStyle w:val="ListeParagraf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İlgili havayolu şirketinin özel yolcu programı hesap bildirim cetveli</w:t>
      </w:r>
    </w:p>
    <w:p w14:paraId="2EBDBFFF" w14:textId="77777777" w:rsidR="00037FFA" w:rsidRDefault="00411D7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Transfer harcamasına ilişkin sözleşme veya araç kiralama hizmetinin internet üzerinden hizmet veren bir siteden alınması durumunda internetten alınan belge çıktısı</w:t>
      </w:r>
    </w:p>
    <w:p w14:paraId="407B6AEF" w14:textId="77777777" w:rsidR="00037FFA" w:rsidRDefault="00411D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Konaklama harcamalarına ilişkin ek olarak:</w:t>
      </w:r>
    </w:p>
    <w:p w14:paraId="59C22FBC" w14:textId="38AA9C2A" w:rsidR="00037FFA" w:rsidRDefault="00411D7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Oda-kahvaltı tutarını gösteren ayrıntılı fatura</w:t>
      </w:r>
    </w:p>
    <w:p w14:paraId="09AE2222" w14:textId="77777777" w:rsidR="00037FFA" w:rsidRDefault="00411D7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Kalınan otelden alınan ve yararlanıcıların/katılımcıların isimlerini, konaklama tarihlerini ve oda-kahvaltı tutarını içeren yazı</w:t>
      </w:r>
    </w:p>
    <w:p w14:paraId="786015DD" w14:textId="1CD0E468" w:rsidR="00037FFA" w:rsidRDefault="00411D7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Programda yapılan tanıtım faaliyetlerine ve tanıtım</w:t>
      </w:r>
      <w:r w:rsidR="006514BA">
        <w:rPr>
          <w:rFonts w:ascii="Times New Roman" w:hAnsi="Times New Roman"/>
          <w:sz w:val="24"/>
        </w:rPr>
        <w:t xml:space="preserve"> ya da eşantiyon</w:t>
      </w:r>
      <w:r>
        <w:rPr>
          <w:rFonts w:ascii="Times New Roman" w:hAnsi="Times New Roman"/>
          <w:sz w:val="24"/>
          <w:szCs w:val="24"/>
        </w:rPr>
        <w:t xml:space="preserve"> malzemelerine ilişkin görseller </w:t>
      </w:r>
      <w:r>
        <w:rPr>
          <w:rFonts w:ascii="Times New Roman" w:hAnsi="Times New Roman"/>
          <w:bCs/>
          <w:sz w:val="24"/>
          <w:szCs w:val="24"/>
        </w:rPr>
        <w:t>(Niteliği itibarıyla KEP adresi üzerinden sunulamayacak mahiyette olan görseller [video kaydı, CD vb.] KEP ile yapılan başvuruyla ilişkilendirilmek şartıyla doğrudan veya posta ile dilekçe ekinde gönderilir.)</w:t>
      </w:r>
    </w:p>
    <w:p w14:paraId="1933C33D" w14:textId="77777777" w:rsidR="00037FFA" w:rsidRDefault="00411D7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İnternet ortamındaki tanıtım faaliyetleri için yayınlandıkları internet sitesi bağlantı adresinin görülebileceği ekran görüntüleri</w:t>
      </w:r>
    </w:p>
    <w:p w14:paraId="71D5A9B0" w14:textId="77777777" w:rsidR="00037FFA" w:rsidRDefault="00411D7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Sosyal medya, arama motoru ve dijital platform reklamları için ek olarak:</w:t>
      </w:r>
    </w:p>
    <w:p w14:paraId="2CDBBD6C" w14:textId="77777777" w:rsidR="00037FFA" w:rsidRDefault="00411D7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Tanıtım veya fatura dönemi ile uyumlu zaman aralığına ilişkin işlem geçmişi raporu (reklamların tıklanma sayısı ve tıklamanın yapıldığı ülkeleri içeren rapor)</w:t>
      </w:r>
    </w:p>
    <w:p w14:paraId="04FEB513" w14:textId="77777777" w:rsidR="00037FFA" w:rsidRDefault="00411D7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 yüze okuma amaçlı erişim sağlanmasına yönelik kullanıcı adı ve şifre bilgileri</w:t>
      </w:r>
    </w:p>
    <w:p w14:paraId="3A754F67" w14:textId="77777777" w:rsidR="00037FFA" w:rsidRDefault="00411D7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Yetkili kuruluşlar aracılığıyla tanıtımın yapılması halinde aracı kuruluşun yetki belgesi</w:t>
      </w:r>
    </w:p>
    <w:p w14:paraId="4173F06B" w14:textId="77777777" w:rsidR="00037FFA" w:rsidRDefault="00411D7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Televizyon ve radyo reklamları için ilgili yayıncı kuruluşça onaylanan gerçekleşme raporu</w:t>
      </w:r>
    </w:p>
    <w:p w14:paraId="17DB1616" w14:textId="77777777" w:rsidR="00037FFA" w:rsidRDefault="00411D7D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Halkla ilişkiler kuruluşlar</w:t>
      </w:r>
      <w:r>
        <w:rPr>
          <w:rFonts w:ascii="Times New Roman" w:hAnsi="Times New Roman"/>
          <w:sz w:val="24"/>
        </w:rPr>
        <w:t>ı</w:t>
      </w:r>
      <w:r>
        <w:rPr>
          <w:rFonts w:ascii="Times New Roman" w:hAnsi="Times New Roman"/>
          <w:sz w:val="24"/>
          <w:szCs w:val="24"/>
        </w:rPr>
        <w:t xml:space="preserve"> aracılığıyla düzenlenen belirli bir dönemi ve çeşitli tanıtım faaliyetlerini içeren reklam kampanyalarında her bir tanıtım mecrasına ilişkin tek görsel ve kampanya raporu</w:t>
      </w:r>
    </w:p>
    <w:p w14:paraId="4AEAFBF8" w14:textId="77777777" w:rsidR="00037FFA" w:rsidRDefault="00411D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Talep edilebilecek diğer bilgi ve belgeler</w:t>
      </w:r>
    </w:p>
    <w:p w14:paraId="33D138DA" w14:textId="77777777" w:rsidR="00037FFA" w:rsidRDefault="00037FFA">
      <w:pPr>
        <w:spacing w:after="360" w:line="240" w:lineRule="auto"/>
        <w:rPr>
          <w:rFonts w:ascii="Times New Roman" w:hAnsi="Times New Roman"/>
          <w:b/>
          <w:sz w:val="24"/>
          <w:szCs w:val="24"/>
        </w:rPr>
      </w:pPr>
    </w:p>
    <w:sectPr w:rsidR="00037FFA">
      <w:headerReference w:type="default" r:id="rId8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EE565" w14:textId="77777777" w:rsidR="00944FB1" w:rsidRDefault="00944FB1">
      <w:pPr>
        <w:spacing w:after="0" w:line="240" w:lineRule="auto"/>
      </w:pPr>
    </w:p>
  </w:endnote>
  <w:endnote w:type="continuationSeparator" w:id="0">
    <w:p w14:paraId="39EBBAA3" w14:textId="77777777" w:rsidR="00944FB1" w:rsidRDefault="00944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FAEF" w14:textId="77777777" w:rsidR="00944FB1" w:rsidRDefault="00944FB1">
      <w:pPr>
        <w:spacing w:after="0" w:line="240" w:lineRule="auto"/>
      </w:pPr>
    </w:p>
  </w:footnote>
  <w:footnote w:type="continuationSeparator" w:id="0">
    <w:p w14:paraId="0095120F" w14:textId="77777777" w:rsidR="00944FB1" w:rsidRDefault="00944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E3AB" w14:textId="77777777" w:rsidR="00037FFA" w:rsidRDefault="00411D7D">
    <w:pPr>
      <w:pStyle w:val="stBilgi"/>
      <w:jc w:val="right"/>
      <w:rPr>
        <w:rFonts w:ascii="Times New Roman" w:hAnsi="Times New Roman"/>
        <w:bCs/>
        <w:i/>
        <w:color w:val="000000"/>
        <w:sz w:val="20"/>
        <w:szCs w:val="20"/>
      </w:rPr>
    </w:pPr>
    <w:bookmarkStart w:id="3" w:name="_Hlk99030980"/>
    <w:bookmarkStart w:id="4" w:name="_Hlk99030982"/>
    <w:bookmarkStart w:id="5" w:name="_Hlk99030996"/>
    <w:bookmarkStart w:id="6" w:name="_Hlk99031018"/>
    <w:bookmarkStart w:id="7" w:name="_Hlk99031020"/>
    <w:bookmarkStart w:id="8" w:name="_Hlk99031038"/>
    <w:bookmarkStart w:id="9" w:name="_Hlk99031159"/>
    <w:bookmarkStart w:id="10" w:name="_Hlk99031161"/>
    <w:bookmarkStart w:id="11" w:name="_Hlk99031217"/>
    <w:bookmarkStart w:id="12" w:name="_Hlk99031238"/>
    <w:bookmarkStart w:id="13" w:name="_Hlk99031343"/>
    <w:bookmarkStart w:id="14" w:name="_Hlk99031345"/>
    <w:bookmarkStart w:id="15" w:name="_Hlk99031346"/>
    <w:bookmarkStart w:id="16" w:name="_Hlk99031344"/>
    <w:bookmarkStart w:id="17" w:name="_Hlk99031239"/>
    <w:bookmarkStart w:id="18" w:name="_Hlk99031218"/>
    <w:bookmarkStart w:id="19" w:name="_Hlk99031162"/>
    <w:bookmarkStart w:id="20" w:name="_Hlk99031160"/>
    <w:bookmarkStart w:id="21" w:name="_Hlk99031039"/>
    <w:bookmarkStart w:id="22" w:name="_Hlk99031021"/>
    <w:bookmarkStart w:id="23" w:name="_Hlk99031019"/>
    <w:bookmarkStart w:id="24" w:name="_Hlk99030997"/>
    <w:bookmarkStart w:id="25" w:name="_Hlk99030983"/>
    <w:bookmarkStart w:id="26" w:name="_Hlk99030981"/>
    <w:r>
      <w:rPr>
        <w:rFonts w:ascii="Times New Roman" w:hAnsi="Times New Roman"/>
        <w:bCs/>
        <w:i/>
        <w:color w:val="000000"/>
        <w:sz w:val="20"/>
        <w:szCs w:val="20"/>
      </w:rPr>
      <w:t xml:space="preserve">5448 sayılı Hizmet İhracatının Tanımlanması, Sınıflandırılması ve Desteklenmesi Hakkında Karar </w:t>
    </w:r>
  </w:p>
  <w:p w14:paraId="71570929" w14:textId="77777777" w:rsidR="00037FFA" w:rsidRDefault="00411D7D">
    <w:pPr>
      <w:pStyle w:val="stBilgi"/>
      <w:pBdr>
        <w:bottom w:val="single" w:sz="4" w:space="1" w:color="auto"/>
      </w:pBdr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/>
        <w:i/>
        <w:color w:val="000000"/>
        <w:sz w:val="20"/>
        <w:szCs w:val="20"/>
      </w:rPr>
      <w:t>Fuarcılık Hizmetleri Sektörü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33075545" w14:textId="77777777" w:rsidR="00037FFA" w:rsidRDefault="00037FFA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3E0"/>
    <w:multiLevelType w:val="hybridMultilevel"/>
    <w:tmpl w:val="FF04B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30E3A"/>
    <w:multiLevelType w:val="hybridMultilevel"/>
    <w:tmpl w:val="B4469838"/>
    <w:lvl w:ilvl="0" w:tplc="69844332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755D0B"/>
    <w:multiLevelType w:val="hybridMultilevel"/>
    <w:tmpl w:val="5A32AA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C529E"/>
    <w:multiLevelType w:val="hybridMultilevel"/>
    <w:tmpl w:val="13E48780"/>
    <w:lvl w:ilvl="0" w:tplc="CEF40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8675A4"/>
    <w:multiLevelType w:val="hybridMultilevel"/>
    <w:tmpl w:val="26084AEE"/>
    <w:lvl w:ilvl="0" w:tplc="E69A2452">
      <w:start w:val="1"/>
      <w:numFmt w:val="lowerRoman"/>
      <w:lvlText w:val="%1."/>
      <w:lvlJc w:val="left"/>
      <w:pPr>
        <w:ind w:left="1440" w:hanging="72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73381"/>
    <w:multiLevelType w:val="hybridMultilevel"/>
    <w:tmpl w:val="3B162198"/>
    <w:lvl w:ilvl="0" w:tplc="B2D29F28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189B"/>
    <w:multiLevelType w:val="hybridMultilevel"/>
    <w:tmpl w:val="11DEF03E"/>
    <w:lvl w:ilvl="0" w:tplc="9E5241F8">
      <w:start w:val="1"/>
      <w:numFmt w:val="lowerRoman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  <w:color w:val="auto"/>
      </w:rPr>
    </w:lvl>
    <w:lvl w:ilvl="1" w:tplc="6B60DE5E">
      <w:start w:val="1"/>
      <w:numFmt w:val="decimal"/>
      <w:lvlText w:val="%2-"/>
      <w:lvlJc w:val="left"/>
      <w:pPr>
        <w:tabs>
          <w:tab w:val="num" w:pos="2081"/>
        </w:tabs>
        <w:ind w:left="2081" w:hanging="510"/>
      </w:pPr>
    </w:lvl>
    <w:lvl w:ilvl="2" w:tplc="3FE47FB8">
      <w:start w:val="1"/>
      <w:numFmt w:val="decimal"/>
      <w:lvlText w:val="%3)"/>
      <w:lvlJc w:val="left"/>
      <w:pPr>
        <w:tabs>
          <w:tab w:val="num" w:pos="851"/>
        </w:tabs>
        <w:ind w:left="851" w:hanging="360"/>
      </w:pPr>
      <w:rPr>
        <w:color w:val="000000"/>
      </w:r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E2F41D1"/>
    <w:multiLevelType w:val="hybridMultilevel"/>
    <w:tmpl w:val="89726D7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1">
      <w:start w:val="1"/>
      <w:numFmt w:val="decimal"/>
      <w:lvlText w:val="%2)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E31917"/>
    <w:multiLevelType w:val="hybridMultilevel"/>
    <w:tmpl w:val="424607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0615"/>
    <w:multiLevelType w:val="hybridMultilevel"/>
    <w:tmpl w:val="4352FA2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B778C"/>
    <w:multiLevelType w:val="hybridMultilevel"/>
    <w:tmpl w:val="2A2EB19E"/>
    <w:lvl w:ilvl="0" w:tplc="AB52F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  <w:sz w:val="24"/>
        <w:szCs w:val="24"/>
      </w:rPr>
    </w:lvl>
    <w:lvl w:ilvl="1" w:tplc="041F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653D13"/>
    <w:multiLevelType w:val="hybridMultilevel"/>
    <w:tmpl w:val="C97EA392"/>
    <w:lvl w:ilvl="0" w:tplc="8AFAF898">
      <w:start w:val="1"/>
      <w:numFmt w:val="lowerRoman"/>
      <w:lvlText w:val="%1."/>
      <w:lvlJc w:val="left"/>
      <w:pPr>
        <w:ind w:left="1571" w:hanging="72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B82C1F"/>
    <w:multiLevelType w:val="hybridMultilevel"/>
    <w:tmpl w:val="C9CE8612"/>
    <w:lvl w:ilvl="0" w:tplc="F1529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36712F"/>
    <w:multiLevelType w:val="hybridMultilevel"/>
    <w:tmpl w:val="120E17D2"/>
    <w:lvl w:ilvl="0" w:tplc="F57AF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95E31"/>
    <w:multiLevelType w:val="hybridMultilevel"/>
    <w:tmpl w:val="7BDE5412"/>
    <w:lvl w:ilvl="0" w:tplc="F57C1C16">
      <w:start w:val="1"/>
      <w:numFmt w:val="lowerRoman"/>
      <w:lvlText w:val="%1."/>
      <w:lvlJc w:val="left"/>
      <w:pPr>
        <w:ind w:left="108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5AA0"/>
    <w:multiLevelType w:val="hybridMultilevel"/>
    <w:tmpl w:val="A29CD39E"/>
    <w:lvl w:ilvl="0" w:tplc="85EC1A16">
      <w:start w:val="1"/>
      <w:numFmt w:val="decimal"/>
      <w:lvlText w:val="%1)"/>
      <w:lvlJc w:val="left"/>
      <w:pPr>
        <w:ind w:left="1931" w:hanging="360"/>
      </w:pPr>
    </w:lvl>
    <w:lvl w:ilvl="1" w:tplc="041F0019">
      <w:start w:val="1"/>
      <w:numFmt w:val="lowerLetter"/>
      <w:lvlText w:val="%2."/>
      <w:lvlJc w:val="left"/>
      <w:pPr>
        <w:ind w:left="2651" w:hanging="360"/>
      </w:pPr>
    </w:lvl>
    <w:lvl w:ilvl="2" w:tplc="041F001B">
      <w:start w:val="1"/>
      <w:numFmt w:val="lowerRoman"/>
      <w:lvlText w:val="%3."/>
      <w:lvlJc w:val="right"/>
      <w:pPr>
        <w:ind w:left="3371" w:hanging="180"/>
      </w:pPr>
    </w:lvl>
    <w:lvl w:ilvl="3" w:tplc="041F000F">
      <w:start w:val="1"/>
      <w:numFmt w:val="decimal"/>
      <w:lvlText w:val="%4."/>
      <w:lvlJc w:val="left"/>
      <w:pPr>
        <w:ind w:left="4091" w:hanging="360"/>
      </w:pPr>
    </w:lvl>
    <w:lvl w:ilvl="4" w:tplc="041F0019">
      <w:start w:val="1"/>
      <w:numFmt w:val="lowerLetter"/>
      <w:lvlText w:val="%5."/>
      <w:lvlJc w:val="left"/>
      <w:pPr>
        <w:ind w:left="4811" w:hanging="360"/>
      </w:pPr>
    </w:lvl>
    <w:lvl w:ilvl="5" w:tplc="041F001B">
      <w:start w:val="1"/>
      <w:numFmt w:val="lowerRoman"/>
      <w:lvlText w:val="%6."/>
      <w:lvlJc w:val="right"/>
      <w:pPr>
        <w:ind w:left="5531" w:hanging="180"/>
      </w:pPr>
    </w:lvl>
    <w:lvl w:ilvl="6" w:tplc="041F000F">
      <w:start w:val="1"/>
      <w:numFmt w:val="decimal"/>
      <w:lvlText w:val="%7."/>
      <w:lvlJc w:val="left"/>
      <w:pPr>
        <w:ind w:left="6251" w:hanging="360"/>
      </w:pPr>
    </w:lvl>
    <w:lvl w:ilvl="7" w:tplc="041F0019">
      <w:start w:val="1"/>
      <w:numFmt w:val="lowerLetter"/>
      <w:lvlText w:val="%8."/>
      <w:lvlJc w:val="left"/>
      <w:pPr>
        <w:ind w:left="6971" w:hanging="360"/>
      </w:pPr>
    </w:lvl>
    <w:lvl w:ilvl="8" w:tplc="041F001B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6412546B"/>
    <w:multiLevelType w:val="hybridMultilevel"/>
    <w:tmpl w:val="49268842"/>
    <w:lvl w:ilvl="0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645B4FCC"/>
    <w:multiLevelType w:val="hybridMultilevel"/>
    <w:tmpl w:val="E9AC294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52000C"/>
    <w:multiLevelType w:val="hybridMultilevel"/>
    <w:tmpl w:val="12C8C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8D72E63"/>
    <w:multiLevelType w:val="hybridMultilevel"/>
    <w:tmpl w:val="796EE626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F70471"/>
    <w:multiLevelType w:val="hybridMultilevel"/>
    <w:tmpl w:val="7168FD14"/>
    <w:lvl w:ilvl="0" w:tplc="30F20EDA">
      <w:start w:val="3"/>
      <w:numFmt w:val="decimal"/>
      <w:lvlText w:val="%1.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18"/>
  </w:num>
  <w:num w:numId="10">
    <w:abstractNumId w:val="7"/>
  </w:num>
  <w:num w:numId="11">
    <w:abstractNumId w:val="19"/>
  </w:num>
  <w:num w:numId="12">
    <w:abstractNumId w:val="8"/>
  </w:num>
  <w:num w:numId="13">
    <w:abstractNumId w:val="14"/>
  </w:num>
  <w:num w:numId="14">
    <w:abstractNumId w:val="4"/>
  </w:num>
  <w:num w:numId="15">
    <w:abstractNumId w:val="11"/>
  </w:num>
  <w:num w:numId="16">
    <w:abstractNumId w:val="0"/>
  </w:num>
  <w:num w:numId="17">
    <w:abstractNumId w:val="20"/>
  </w:num>
  <w:num w:numId="18">
    <w:abstractNumId w:val="1"/>
  </w:num>
  <w:num w:numId="19">
    <w:abstractNumId w:val="1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FA"/>
    <w:rsid w:val="00037FFA"/>
    <w:rsid w:val="002E4B77"/>
    <w:rsid w:val="00411D7D"/>
    <w:rsid w:val="006514BA"/>
    <w:rsid w:val="008A48CC"/>
    <w:rsid w:val="00944FB1"/>
    <w:rsid w:val="009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BBB"/>
  <w15:docId w15:val="{0EB6CE18-9DB8-49A1-BC6C-3695170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uppressAutoHyphens/>
      <w:spacing w:before="280" w:after="280" w:line="240" w:lineRule="auto"/>
    </w:pPr>
    <w:rPr>
      <w:rFonts w:ascii="Arial Unicode MS" w:hAnsi="Arial Unicode MS"/>
      <w:sz w:val="24"/>
      <w:szCs w:val="24"/>
      <w:lang w:val="en-US" w:eastAsia="ar-SA"/>
    </w:rPr>
  </w:style>
  <w:style w:type="paragraph" w:styleId="BalonMetni">
    <w:name w:val="Balloon Text"/>
    <w:basedOn w:val="Normal"/>
    <w:link w:val="BalonMetniChar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CharChar">
    <w:name w:val="Char Char"/>
    <w:basedOn w:val="Normal"/>
    <w:pPr>
      <w:spacing w:line="240" w:lineRule="exact"/>
    </w:pPr>
    <w:rPr>
      <w:rFonts w:ascii="Verdana" w:hAnsi="Verdana"/>
      <w:sz w:val="20"/>
      <w:szCs w:val="20"/>
      <w:lang w:val="en-US" w:eastAsia="tr-TR"/>
    </w:rPr>
  </w:style>
  <w:style w:type="paragraph" w:styleId="AklamaMetni">
    <w:name w:val="annotation text"/>
    <w:basedOn w:val="Normal"/>
    <w:link w:val="AklamaMetniChar"/>
    <w:semiHidden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Pr>
      <w:b/>
      <w:bCs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</w:style>
  <w:style w:type="paragraph" w:styleId="DipnotMetni">
    <w:name w:val="footnote text"/>
    <w:link w:val="DipnotMetniChar"/>
    <w:semiHidden/>
    <w:pPr>
      <w:spacing w:after="0" w:line="240" w:lineRule="auto"/>
    </w:pPr>
    <w:rPr>
      <w:sz w:val="20"/>
      <w:szCs w:val="20"/>
    </w:rPr>
  </w:style>
  <w:style w:type="paragraph" w:styleId="SonnotMetni">
    <w:name w:val="endnote text"/>
    <w:link w:val="SonnotMetniChar"/>
    <w:semiHidden/>
    <w:pPr>
      <w:spacing w:after="0" w:line="240" w:lineRule="auto"/>
    </w:pPr>
    <w:rPr>
      <w:sz w:val="20"/>
      <w:szCs w:val="20"/>
    </w:rPr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Segoe UI" w:hAnsi="Segoe UI"/>
      <w:sz w:val="18"/>
      <w:szCs w:val="18"/>
    </w:rPr>
  </w:style>
  <w:style w:type="character" w:styleId="AklamaBavurusu">
    <w:name w:val="annotation reference"/>
    <w:basedOn w:val="VarsaylanParagrafYazTipi"/>
    <w:semiHidden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semiHidden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Pr>
      <w:b/>
      <w:bCs/>
      <w:sz w:val="20"/>
      <w:szCs w:val="20"/>
    </w:r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</w:style>
  <w:style w:type="character" w:styleId="DipnotBavurusu">
    <w:name w:val="footnote reference"/>
    <w:semiHidden/>
    <w:rPr>
      <w:vertAlign w:val="superscript"/>
    </w:rPr>
  </w:style>
  <w:style w:type="character" w:customStyle="1" w:styleId="DipnotMetniChar">
    <w:name w:val="Dipnot Metni Char"/>
    <w:link w:val="DipnotMetni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character" w:customStyle="1" w:styleId="SonnotMetniChar">
    <w:name w:val="Sonnot Metni Char"/>
    <w:link w:val="SonnotMetni"/>
    <w:semiHidden/>
    <w:rPr>
      <w:sz w:val="20"/>
      <w:szCs w:val="20"/>
    </w:rPr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3975-1C50-47CB-8BB9-B8DDEFB4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Company>T.C. Gümrük ve Ticaret Bakanlığı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DUMLUPINAR</dc:creator>
  <cp:lastModifiedBy>Administrator</cp:lastModifiedBy>
  <cp:revision>158</cp:revision>
  <cp:lastPrinted>2022-05-30T09:54:00Z</cp:lastPrinted>
  <dcterms:created xsi:type="dcterms:W3CDTF">2015-05-06T07:36:00Z</dcterms:created>
  <dcterms:modified xsi:type="dcterms:W3CDTF">2024-04-14T03:18:00Z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user=15103180818</vt:lpwstr>
  </property>
  <property fmtid="{D5CDD505-2E9C-101B-9397-08002B2CF9AE}" pid="4" name="geodilabeltime">
    <vt:lpwstr>datetime=2024-03-15T08:43:13.152Z</vt:lpwstr>
  </property>
</Properties>
</file>